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r>
        <w:rPr>
          <w:rFonts w:hint="eastAsia" w:ascii="方正小标宋简体" w:hAnsi="方正小标宋简体" w:eastAsia="方正小标宋简体" w:cs="方正小标宋简体"/>
          <w:i w:val="0"/>
          <w:caps w:val="0"/>
          <w:color w:val="000000"/>
          <w:spacing w:val="0"/>
          <w:sz w:val="44"/>
          <w:szCs w:val="44"/>
          <w:shd w:val="clear" w:fill="FFFFFF"/>
        </w:rPr>
        <w:t>河北省审计厅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r>
        <w:rPr>
          <w:rFonts w:hint="eastAsia" w:ascii="方正小标宋简体" w:hAnsi="方正小标宋简体" w:eastAsia="方正小标宋简体" w:cs="方正小标宋简体"/>
          <w:i w:val="0"/>
          <w:caps w:val="0"/>
          <w:color w:val="000000"/>
          <w:spacing w:val="0"/>
          <w:sz w:val="44"/>
          <w:szCs w:val="44"/>
          <w:shd w:val="clear" w:fill="FFFFFF"/>
        </w:rPr>
        <w:t>202</w:t>
      </w: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5</w:t>
      </w:r>
      <w:r>
        <w:rPr>
          <w:rFonts w:hint="eastAsia" w:ascii="方正小标宋简体" w:hAnsi="方正小标宋简体" w:eastAsia="方正小标宋简体" w:cs="方正小标宋简体"/>
          <w:i w:val="0"/>
          <w:caps w:val="0"/>
          <w:color w:val="000000"/>
          <w:spacing w:val="0"/>
          <w:sz w:val="44"/>
          <w:szCs w:val="44"/>
          <w:shd w:val="clear" w:fill="FFFFFF"/>
        </w:rPr>
        <w:t>年政府信息公开工</w:t>
      </w:r>
      <w:bookmarkStart w:id="0" w:name="_GoBack"/>
      <w:bookmarkEnd w:id="0"/>
      <w:r>
        <w:rPr>
          <w:rFonts w:hint="eastAsia" w:ascii="方正小标宋简体" w:hAnsi="方正小标宋简体" w:eastAsia="方正小标宋简体" w:cs="方正小标宋简体"/>
          <w:i w:val="0"/>
          <w:caps w:val="0"/>
          <w:color w:val="000000"/>
          <w:spacing w:val="0"/>
          <w:sz w:val="44"/>
          <w:szCs w:val="44"/>
          <w:shd w:val="clear" w:fill="FFFFFF"/>
        </w:rPr>
        <w:t>作年度报告</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ascii="仿宋_GB2312" w:hAnsi="微软雅黑" w:eastAsia="仿宋_GB2312" w:cs="仿宋_GB2312"/>
          <w:i w:val="0"/>
          <w:caps w:val="0"/>
          <w:color w:val="000000"/>
          <w:spacing w:val="0"/>
          <w:sz w:val="32"/>
          <w:szCs w:val="32"/>
          <w:shd w:val="clear" w:fill="FFFFFF"/>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2" w:firstLineChars="200"/>
        <w:textAlignment w:val="auto"/>
        <w:rPr>
          <w:rFonts w:ascii="仿宋_GB2312" w:hAnsi="仿宋_GB2312" w:eastAsia="仿宋_GB2312" w:cs="仿宋_GB2312"/>
          <w:i w:val="0"/>
          <w:caps w:val="0"/>
          <w:color w:val="000000"/>
          <w:spacing w:val="0"/>
          <w:sz w:val="32"/>
          <w:szCs w:val="32"/>
          <w:shd w:val="clear" w:fill="FFFFFF"/>
        </w:rPr>
      </w:pPr>
      <w:r>
        <w:rPr>
          <w:rFonts w:ascii="仿宋_GB2312" w:hAnsi="仿宋_GB2312" w:eastAsia="仿宋_GB2312" w:cs="仿宋_GB2312"/>
          <w:i w:val="0"/>
          <w:caps w:val="0"/>
          <w:color w:val="000000"/>
          <w:spacing w:val="0"/>
          <w:sz w:val="32"/>
          <w:szCs w:val="32"/>
          <w:shd w:val="clear" w:fill="FFFFFF"/>
        </w:rPr>
        <w:t>本报告根据《中华人民共和国政府信息公开条例》《河北省实施〈中华人民共和国政府信息公开条例〉办法》等规定发布。报告使用数据统计期限自202</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ascii="仿宋_GB2312" w:hAnsi="仿宋_GB2312" w:eastAsia="仿宋_GB2312" w:cs="仿宋_GB2312"/>
          <w:i w:val="0"/>
          <w:caps w:val="0"/>
          <w:color w:val="000000"/>
          <w:spacing w:val="0"/>
          <w:sz w:val="32"/>
          <w:szCs w:val="32"/>
          <w:shd w:val="clear" w:fill="FFFFFF"/>
        </w:rPr>
        <w:t>年1月1日起至202</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ascii="仿宋_GB2312" w:hAnsi="仿宋_GB2312" w:eastAsia="仿宋_GB2312" w:cs="仿宋_GB2312"/>
          <w:i w:val="0"/>
          <w:caps w:val="0"/>
          <w:color w:val="000000"/>
          <w:spacing w:val="0"/>
          <w:sz w:val="32"/>
          <w:szCs w:val="32"/>
          <w:shd w:val="clear" w:fill="FFFFFF"/>
        </w:rPr>
        <w:t>年12月31日止。 </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2" w:firstLineChars="200"/>
        <w:textAlignment w:val="auto"/>
        <w:rPr>
          <w:rFonts w:ascii="黑体" w:hAnsi="宋体" w:eastAsia="黑体" w:cs="黑体"/>
          <w:i w:val="0"/>
          <w:caps w:val="0"/>
          <w:color w:val="000000"/>
          <w:spacing w:val="0"/>
          <w:sz w:val="32"/>
          <w:szCs w:val="32"/>
          <w:shd w:val="clear" w:fill="FFFFFF"/>
        </w:rPr>
      </w:pPr>
      <w:r>
        <w:rPr>
          <w:rFonts w:ascii="黑体" w:hAnsi="宋体" w:eastAsia="黑体" w:cs="黑体"/>
          <w:i w:val="0"/>
          <w:caps w:val="0"/>
          <w:color w:val="000000"/>
          <w:spacing w:val="0"/>
          <w:sz w:val="32"/>
          <w:szCs w:val="32"/>
          <w:shd w:val="clear" w:fill="FFFFFF"/>
        </w:rPr>
        <w:t>一、总体情况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2" w:firstLineChars="200"/>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eastAsia="zh-CN"/>
        </w:rPr>
        <w:t>202</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lang w:eastAsia="zh-CN"/>
        </w:rPr>
        <w:t>年，审计机关以习近平新时代中国特色社会主义思想为指引，将深入学习贯彻习近平总书记对审计工作的重要指示精神与学习贯彻党的二十大及二十届历次全会精神一体推进、融会贯通。全面落实省委、省政府工作部署，充分履行政府信息公开责任，科学谋划工作思路、细化落实举措，推动我厅信息公开工作提质增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2"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rPr>
        <w:t>（一）主动公开方面。</w:t>
      </w:r>
      <w:r>
        <w:rPr>
          <w:rFonts w:hint="eastAsia" w:ascii="仿宋_GB2312" w:hAnsi="仿宋_GB2312" w:eastAsia="仿宋_GB2312" w:cs="仿宋_GB2312"/>
          <w:i w:val="0"/>
          <w:caps w:val="0"/>
          <w:color w:val="000000"/>
          <w:spacing w:val="0"/>
          <w:sz w:val="32"/>
          <w:szCs w:val="32"/>
          <w:shd w:val="clear" w:fill="FFFFFF"/>
        </w:rPr>
        <w:t>厅门户网站立足经济监督定位，紧贴重点</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履职尽责</w:t>
      </w:r>
      <w:r>
        <w:rPr>
          <w:rFonts w:hint="eastAsia" w:ascii="仿宋_GB2312" w:hAnsi="仿宋_GB2312" w:eastAsia="仿宋_GB2312" w:cs="仿宋_GB2312"/>
          <w:i w:val="0"/>
          <w:caps w:val="0"/>
          <w:color w:val="000000"/>
          <w:spacing w:val="0"/>
          <w:sz w:val="32"/>
          <w:szCs w:val="32"/>
          <w:shd w:val="clear" w:fill="FFFFFF"/>
          <w:lang w:eastAsia="zh-CN"/>
        </w:rPr>
        <w:t>，不折不扣落实好</w:t>
      </w:r>
      <w:r>
        <w:rPr>
          <w:rFonts w:hint="eastAsia" w:ascii="仿宋_GB2312" w:hAnsi="仿宋_GB2312" w:eastAsia="仿宋_GB2312" w:cs="仿宋_GB2312"/>
          <w:i w:val="0"/>
          <w:caps w:val="0"/>
          <w:color w:val="000000"/>
          <w:spacing w:val="0"/>
          <w:sz w:val="32"/>
          <w:szCs w:val="32"/>
          <w:shd w:val="clear" w:fill="FFFFFF"/>
        </w:rPr>
        <w:t>党中央、国务院重大部署</w:t>
      </w:r>
      <w:r>
        <w:rPr>
          <w:rFonts w:hint="eastAsia" w:ascii="仿宋_GB2312" w:hAnsi="仿宋_GB2312" w:eastAsia="仿宋_GB2312" w:cs="仿宋_GB2312"/>
          <w:i w:val="0"/>
          <w:caps w:val="0"/>
          <w:color w:val="000000"/>
          <w:spacing w:val="0"/>
          <w:sz w:val="32"/>
          <w:szCs w:val="32"/>
          <w:shd w:val="clear" w:fill="FFFFFF"/>
          <w:lang w:eastAsia="zh-CN"/>
        </w:rPr>
        <w:t>以及</w:t>
      </w:r>
      <w:r>
        <w:rPr>
          <w:rFonts w:hint="eastAsia" w:ascii="仿宋_GB2312" w:hAnsi="仿宋_GB2312" w:eastAsia="仿宋_GB2312" w:cs="仿宋_GB2312"/>
          <w:i w:val="0"/>
          <w:caps w:val="0"/>
          <w:color w:val="000000"/>
          <w:spacing w:val="0"/>
          <w:sz w:val="32"/>
          <w:szCs w:val="32"/>
          <w:shd w:val="clear" w:fill="FFFFFF"/>
        </w:rPr>
        <w:t>省委、省政府工作要求</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总结推广好的经验做法</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高质量高标准开展深入贯彻中央八项规定精神学习教育，</w:t>
      </w:r>
      <w:r>
        <w:rPr>
          <w:rFonts w:hint="eastAsia" w:ascii="仿宋_GB2312" w:hAnsi="仿宋_GB2312" w:eastAsia="仿宋_GB2312" w:cs="仿宋_GB2312"/>
          <w:i w:val="0"/>
          <w:caps w:val="0"/>
          <w:color w:val="000000"/>
          <w:spacing w:val="0"/>
          <w:sz w:val="32"/>
          <w:szCs w:val="32"/>
          <w:shd w:val="clear" w:fill="FFFFFF"/>
          <w:lang w:eastAsia="zh-CN"/>
        </w:rPr>
        <w:t>厅</w:t>
      </w:r>
      <w:r>
        <w:rPr>
          <w:rFonts w:hint="eastAsia" w:ascii="仿宋_GB2312" w:hAnsi="仿宋_GB2312" w:eastAsia="仿宋_GB2312" w:cs="仿宋_GB2312"/>
          <w:i w:val="0"/>
          <w:caps w:val="0"/>
          <w:color w:val="000000"/>
          <w:spacing w:val="0"/>
          <w:sz w:val="32"/>
          <w:szCs w:val="32"/>
          <w:shd w:val="clear" w:fill="FFFFFF"/>
        </w:rPr>
        <w:t>党组带头举办“第一议题”学习和专题读书班，带动基层党组织全面覆盖、全员参与，审计人员精神面貌焕然一新。全省各级审计机关深入学习贯彻党的二十届四中全会精神</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lang w:val="en-US" w:eastAsia="zh-CN"/>
        </w:rPr>
        <w:fldChar w:fldCharType="begin"/>
      </w:r>
      <w:r>
        <w:rPr>
          <w:rFonts w:hint="eastAsia" w:ascii="仿宋_GB2312" w:hAnsi="仿宋_GB2312" w:eastAsia="仿宋_GB2312" w:cs="仿宋_GB2312"/>
          <w:i w:val="0"/>
          <w:caps w:val="0"/>
          <w:color w:val="000000"/>
          <w:spacing w:val="0"/>
          <w:sz w:val="32"/>
          <w:szCs w:val="32"/>
          <w:shd w:val="clear" w:fill="FFFFFF"/>
          <w:lang w:val="en-US" w:eastAsia="zh-CN"/>
        </w:rPr>
        <w:instrText xml:space="preserve"> HYPERLINK "http://www.baidu.com/link?url=bgULennWbrNWsHE1lJgfOdi73pnn4Lu13CUVeX6vfidfOVPQLdxsKfplaw1uefVLGECE_0efuwr975hR0qRds1yRB4kSFFkHOFHA6_Y5xre" \t "https://www.baidu.com/_blank" </w:instrText>
      </w:r>
      <w:r>
        <w:rPr>
          <w:rFonts w:hint="eastAsia" w:ascii="仿宋_GB2312" w:hAnsi="仿宋_GB2312" w:eastAsia="仿宋_GB2312" w:cs="仿宋_GB2312"/>
          <w:i w:val="0"/>
          <w:caps w:val="0"/>
          <w:color w:val="000000"/>
          <w:spacing w:val="0"/>
          <w:sz w:val="32"/>
          <w:szCs w:val="32"/>
          <w:shd w:val="clear" w:fill="FFFFFF"/>
          <w:lang w:val="en-US" w:eastAsia="zh-CN"/>
        </w:rPr>
        <w:fldChar w:fldCharType="separate"/>
      </w:r>
      <w:r>
        <w:rPr>
          <w:rFonts w:hint="eastAsia" w:ascii="仿宋_GB2312" w:hAnsi="仿宋_GB2312" w:eastAsia="仿宋_GB2312" w:cs="仿宋_GB2312"/>
          <w:i w:val="0"/>
          <w:caps w:val="0"/>
          <w:color w:val="000000"/>
          <w:spacing w:val="0"/>
          <w:sz w:val="32"/>
          <w:szCs w:val="32"/>
          <w:shd w:val="clear" w:fill="FFFFFF"/>
          <w:lang w:eastAsia="zh-CN"/>
        </w:rPr>
        <w:t>持之以恒</w:t>
      </w:r>
      <w:r>
        <w:rPr>
          <w:rFonts w:hint="default" w:ascii="仿宋_GB2312" w:hAnsi="仿宋_GB2312" w:eastAsia="仿宋_GB2312" w:cs="仿宋_GB2312"/>
          <w:i w:val="0"/>
          <w:caps w:val="0"/>
          <w:color w:val="000000"/>
          <w:spacing w:val="0"/>
          <w:sz w:val="32"/>
          <w:szCs w:val="32"/>
          <w:shd w:val="clear" w:fill="FFFFFF"/>
        </w:rPr>
        <w:t>用党的创新理论武装头脑</w:t>
      </w:r>
      <w:r>
        <w:rPr>
          <w:rFonts w:hint="eastAsia" w:ascii="仿宋_GB2312" w:hAnsi="仿宋_GB2312" w:eastAsia="仿宋_GB2312" w:cs="仿宋_GB2312"/>
          <w:i w:val="0"/>
          <w:caps w:val="0"/>
          <w:color w:val="000000"/>
          <w:spacing w:val="0"/>
          <w:sz w:val="32"/>
          <w:szCs w:val="32"/>
          <w:shd w:val="clear" w:fill="FFFFFF"/>
          <w:lang w:eastAsia="zh-CN"/>
        </w:rPr>
        <w:t>、</w:t>
      </w:r>
      <w:r>
        <w:rPr>
          <w:rFonts w:hint="default" w:ascii="仿宋_GB2312" w:hAnsi="仿宋_GB2312" w:eastAsia="仿宋_GB2312" w:cs="仿宋_GB2312"/>
          <w:i w:val="0"/>
          <w:caps w:val="0"/>
          <w:color w:val="000000"/>
          <w:spacing w:val="0"/>
          <w:sz w:val="32"/>
          <w:szCs w:val="32"/>
          <w:shd w:val="clear" w:fill="FFFFFF"/>
        </w:rPr>
        <w:t>指导实践</w:t>
      </w:r>
      <w:r>
        <w:rPr>
          <w:rFonts w:hint="default" w:ascii="仿宋_GB2312" w:hAnsi="仿宋_GB2312" w:eastAsia="仿宋_GB2312" w:cs="仿宋_GB2312"/>
          <w:i w:val="0"/>
          <w:caps w:val="0"/>
          <w:color w:val="000000"/>
          <w:spacing w:val="0"/>
          <w:sz w:val="32"/>
          <w:szCs w:val="32"/>
          <w:shd w:val="clear" w:fill="FFFFFF"/>
          <w:lang w:val="en-US" w:eastAsia="zh-CN"/>
        </w:rPr>
        <w:fldChar w:fldCharType="end"/>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围绕</w:t>
      </w:r>
      <w:r>
        <w:rPr>
          <w:rFonts w:hint="eastAsia" w:ascii="仿宋_GB2312" w:hAnsi="仿宋_GB2312" w:eastAsia="仿宋_GB2312" w:cs="仿宋_GB2312"/>
          <w:i w:val="0"/>
          <w:caps w:val="0"/>
          <w:color w:val="000000"/>
          <w:spacing w:val="0"/>
          <w:sz w:val="32"/>
          <w:szCs w:val="32"/>
          <w:shd w:val="clear" w:fill="FFFFFF"/>
        </w:rPr>
        <w:t>河北审计助力京津冀协同发展、</w:t>
      </w:r>
      <w:r>
        <w:rPr>
          <w:rFonts w:hint="eastAsia" w:ascii="仿宋_GB2312" w:hAnsi="仿宋_GB2312" w:eastAsia="仿宋_GB2312" w:cs="仿宋_GB2312"/>
          <w:i w:val="0"/>
          <w:caps w:val="0"/>
          <w:color w:val="000000"/>
          <w:spacing w:val="0"/>
          <w:sz w:val="32"/>
          <w:szCs w:val="32"/>
          <w:shd w:val="clear" w:fill="FFFFFF"/>
          <w:lang w:eastAsia="zh-CN"/>
        </w:rPr>
        <w:t>审计署“科学规范提升年”行动、</w:t>
      </w:r>
      <w:r>
        <w:rPr>
          <w:rFonts w:hint="eastAsia" w:ascii="仿宋_GB2312" w:hAnsi="仿宋_GB2312" w:eastAsia="仿宋_GB2312" w:cs="仿宋_GB2312"/>
          <w:i w:val="0"/>
          <w:caps w:val="0"/>
          <w:color w:val="000000"/>
          <w:spacing w:val="0"/>
          <w:sz w:val="32"/>
          <w:szCs w:val="32"/>
          <w:shd w:val="clear" w:fill="FFFFFF"/>
        </w:rPr>
        <w:t>以高质量审计监督护航经济社会高质量发展</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深化科技强审、做实研究型审计等方面，及时推送相关学习文章、发布动态信息。</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2"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rPr>
        <w:t>（二）依申请公开方面。</w:t>
      </w:r>
      <w:r>
        <w:rPr>
          <w:rFonts w:hint="eastAsia" w:ascii="仿宋_GB2312" w:hAnsi="仿宋_GB2312" w:eastAsia="仿宋_GB2312" w:cs="仿宋_GB2312"/>
          <w:i w:val="0"/>
          <w:caps w:val="0"/>
          <w:color w:val="000000"/>
          <w:spacing w:val="0"/>
          <w:sz w:val="32"/>
          <w:szCs w:val="32"/>
          <w:shd w:val="clear" w:fill="FFFFFF"/>
        </w:rPr>
        <w:t>202</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rPr>
        <w:t>年，我厅共受理公民依申请公开事项</w:t>
      </w:r>
      <w:r>
        <w:rPr>
          <w:rFonts w:hint="eastAsia" w:ascii="仿宋_GB2312" w:hAnsi="仿宋_GB2312" w:eastAsia="仿宋_GB2312" w:cs="仿宋_GB2312"/>
          <w:i w:val="0"/>
          <w:caps w:val="0"/>
          <w:color w:val="000000"/>
          <w:spacing w:val="0"/>
          <w:sz w:val="32"/>
          <w:szCs w:val="32"/>
          <w:shd w:val="clear" w:fill="FFFFFF"/>
          <w:lang w:val="en-US" w:eastAsia="zh-CN"/>
        </w:rPr>
        <w:t>8</w:t>
      </w:r>
      <w:r>
        <w:rPr>
          <w:rFonts w:hint="eastAsia" w:ascii="仿宋_GB2312" w:hAnsi="仿宋_GB2312" w:eastAsia="仿宋_GB2312" w:cs="仿宋_GB2312"/>
          <w:i w:val="0"/>
          <w:caps w:val="0"/>
          <w:color w:val="000000"/>
          <w:spacing w:val="0"/>
          <w:sz w:val="32"/>
          <w:szCs w:val="32"/>
          <w:shd w:val="clear" w:fill="FFFFFF"/>
        </w:rPr>
        <w:t>件，</w:t>
      </w:r>
      <w:r>
        <w:rPr>
          <w:rFonts w:hint="eastAsia" w:ascii="仿宋_GB2312" w:hAnsi="仿宋_GB2312" w:eastAsia="仿宋_GB2312" w:cs="仿宋_GB2312"/>
          <w:i w:val="0"/>
          <w:caps w:val="0"/>
          <w:color w:val="000000"/>
          <w:spacing w:val="0"/>
          <w:sz w:val="32"/>
          <w:szCs w:val="32"/>
          <w:shd w:val="clear" w:fill="FFFFFF"/>
          <w:lang w:eastAsia="zh-CN"/>
        </w:rPr>
        <w:t>审慎</w:t>
      </w:r>
      <w:r>
        <w:rPr>
          <w:rFonts w:hint="eastAsia" w:ascii="仿宋_GB2312" w:hAnsi="仿宋_GB2312" w:eastAsia="仿宋_GB2312" w:cs="仿宋_GB2312"/>
          <w:i w:val="0"/>
          <w:caps w:val="0"/>
          <w:color w:val="000000"/>
          <w:spacing w:val="0"/>
          <w:sz w:val="32"/>
          <w:szCs w:val="32"/>
          <w:shd w:val="clear" w:fill="FFFFFF"/>
        </w:rPr>
        <w:t>处理</w:t>
      </w:r>
      <w:r>
        <w:rPr>
          <w:rFonts w:hint="eastAsia" w:ascii="仿宋_GB2312" w:hAnsi="仿宋_GB2312" w:eastAsia="仿宋_GB2312" w:cs="仿宋_GB2312"/>
          <w:i w:val="0"/>
          <w:caps w:val="0"/>
          <w:color w:val="000000"/>
          <w:spacing w:val="0"/>
          <w:sz w:val="32"/>
          <w:szCs w:val="32"/>
          <w:shd w:val="clear" w:fill="FFFFFF"/>
          <w:lang w:eastAsia="zh-CN"/>
        </w:rPr>
        <w:t>申请人</w:t>
      </w:r>
      <w:r>
        <w:rPr>
          <w:rFonts w:hint="eastAsia" w:ascii="仿宋_GB2312" w:hAnsi="仿宋_GB2312" w:eastAsia="仿宋_GB2312" w:cs="仿宋_GB2312"/>
          <w:i w:val="0"/>
          <w:caps w:val="0"/>
          <w:color w:val="000000"/>
          <w:spacing w:val="0"/>
          <w:sz w:val="32"/>
          <w:szCs w:val="32"/>
          <w:shd w:val="clear" w:fill="FFFFFF"/>
        </w:rPr>
        <w:t>申请内容，与申请人进行电话沟通，及时</w:t>
      </w:r>
      <w:r>
        <w:rPr>
          <w:rFonts w:hint="eastAsia" w:ascii="仿宋_GB2312" w:hAnsi="仿宋_GB2312" w:eastAsia="仿宋_GB2312" w:cs="仿宋_GB2312"/>
          <w:i w:val="0"/>
          <w:caps w:val="0"/>
          <w:color w:val="000000"/>
          <w:spacing w:val="0"/>
          <w:sz w:val="32"/>
          <w:szCs w:val="32"/>
          <w:shd w:val="clear" w:fill="FFFFFF"/>
          <w:lang w:eastAsia="zh-CN"/>
        </w:rPr>
        <w:t>回应申请人</w:t>
      </w:r>
      <w:r>
        <w:rPr>
          <w:rFonts w:hint="eastAsia" w:ascii="仿宋_GB2312" w:hAnsi="仿宋_GB2312" w:eastAsia="仿宋_GB2312" w:cs="仿宋_GB2312"/>
          <w:i w:val="0"/>
          <w:caps w:val="0"/>
          <w:color w:val="000000"/>
          <w:spacing w:val="0"/>
          <w:sz w:val="32"/>
          <w:szCs w:val="32"/>
          <w:shd w:val="clear" w:fill="FFFFFF"/>
        </w:rPr>
        <w:t>诉求</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依法依规</w:t>
      </w:r>
      <w:r>
        <w:rPr>
          <w:rFonts w:hint="eastAsia" w:ascii="仿宋_GB2312" w:hAnsi="仿宋_GB2312" w:eastAsia="仿宋_GB2312" w:cs="仿宋_GB2312"/>
          <w:i w:val="0"/>
          <w:caps w:val="0"/>
          <w:color w:val="000000"/>
          <w:spacing w:val="0"/>
          <w:sz w:val="32"/>
          <w:szCs w:val="32"/>
          <w:shd w:val="clear" w:fill="FFFFFF"/>
          <w:lang w:eastAsia="zh-CN"/>
        </w:rPr>
        <w:t>出具答复文书。</w:t>
      </w:r>
      <w:r>
        <w:rPr>
          <w:rFonts w:hint="eastAsia" w:ascii="仿宋_GB2312" w:hAnsi="仿宋_GB2312" w:eastAsia="仿宋_GB2312" w:cs="仿宋_GB2312"/>
          <w:i w:val="0"/>
          <w:caps w:val="0"/>
          <w:color w:val="000000"/>
          <w:spacing w:val="0"/>
          <w:sz w:val="32"/>
          <w:szCs w:val="32"/>
          <w:shd w:val="clear" w:fill="FFFFFF"/>
        </w:rPr>
        <w:t>202</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rPr>
        <w:t>年，我厅没有因政府信息公开提起的行政诉讼。</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2"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rPr>
        <w:t>（三）政府信息管理方面。</w:t>
      </w:r>
      <w:r>
        <w:rPr>
          <w:rFonts w:hint="eastAsia" w:ascii="仿宋_GB2312" w:hAnsi="仿宋_GB2312" w:eastAsia="仿宋_GB2312" w:cs="仿宋_GB2312"/>
          <w:i w:val="0"/>
          <w:caps w:val="0"/>
          <w:color w:val="000000"/>
          <w:spacing w:val="0"/>
          <w:sz w:val="32"/>
          <w:szCs w:val="32"/>
          <w:shd w:val="clear" w:fill="FFFFFF"/>
        </w:rPr>
        <w:t>加强对舆论阵地管理，着力提高网络舆情监测和应急处置能力，</w:t>
      </w:r>
      <w:r>
        <w:rPr>
          <w:rFonts w:hint="eastAsia" w:ascii="仿宋_GB2312" w:hAnsi="仿宋_GB2312" w:eastAsia="仿宋_GB2312" w:cs="仿宋_GB2312"/>
          <w:i w:val="0"/>
          <w:caps w:val="0"/>
          <w:color w:val="000000"/>
          <w:spacing w:val="0"/>
          <w:sz w:val="32"/>
          <w:szCs w:val="32"/>
          <w:shd w:val="clear" w:fill="FFFFFF"/>
          <w:lang w:eastAsia="zh-CN"/>
        </w:rPr>
        <w:t>补充完善《涉审舆情风险应对预案》；</w:t>
      </w:r>
      <w:r>
        <w:rPr>
          <w:rFonts w:hint="eastAsia" w:ascii="仿宋_GB2312" w:hAnsi="仿宋_GB2312" w:eastAsia="仿宋_GB2312" w:cs="仿宋_GB2312"/>
          <w:i w:val="0"/>
          <w:caps w:val="0"/>
          <w:color w:val="000000"/>
          <w:spacing w:val="0"/>
          <w:sz w:val="32"/>
          <w:szCs w:val="32"/>
          <w:shd w:val="clear" w:fill="FFFFFF"/>
        </w:rPr>
        <w:t>规范信息公开工作</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明确工作标准和流程</w:t>
      </w:r>
      <w:r>
        <w:rPr>
          <w:rFonts w:hint="eastAsia" w:ascii="仿宋_GB2312" w:hAnsi="仿宋_GB2312" w:eastAsia="仿宋_GB2312" w:cs="仿宋_GB2312"/>
          <w:i w:val="0"/>
          <w:caps w:val="0"/>
          <w:color w:val="000000"/>
          <w:spacing w:val="0"/>
          <w:sz w:val="32"/>
          <w:szCs w:val="32"/>
          <w:shd w:val="clear" w:fill="FFFFFF"/>
          <w:lang w:eastAsia="zh-CN"/>
        </w:rPr>
        <w:t>，出台了</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val="en-US" w:eastAsia="zh-CN"/>
        </w:rPr>
        <w:t>关于进一步规范政务新媒体稿件审校工作的通知</w:t>
      </w:r>
      <w:r>
        <w:rPr>
          <w:rFonts w:hint="eastAsia" w:ascii="仿宋_GB2312" w:hAnsi="仿宋_GB2312" w:eastAsia="仿宋_GB2312" w:cs="仿宋_GB2312"/>
          <w:i w:val="0"/>
          <w:caps w:val="0"/>
          <w:color w:val="000000"/>
          <w:spacing w:val="0"/>
          <w:sz w:val="32"/>
          <w:szCs w:val="32"/>
          <w:shd w:val="clear" w:fill="FFFFFF"/>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2"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rPr>
        <w:t>（四）政府信息公开平台建设方面。</w:t>
      </w:r>
      <w:r>
        <w:rPr>
          <w:rFonts w:hint="eastAsia" w:ascii="仿宋_GB2312" w:hAnsi="仿宋_GB2312" w:eastAsia="仿宋_GB2312" w:cs="仿宋_GB2312"/>
          <w:i w:val="0"/>
          <w:caps w:val="0"/>
          <w:color w:val="000000"/>
          <w:spacing w:val="0"/>
          <w:sz w:val="32"/>
          <w:szCs w:val="32"/>
          <w:shd w:val="clear" w:fill="FFFFFF"/>
          <w:lang w:eastAsia="zh-CN"/>
        </w:rPr>
        <w:t>厅办公室</w:t>
      </w:r>
      <w:r>
        <w:rPr>
          <w:rFonts w:hint="eastAsia" w:ascii="仿宋_GB2312" w:hAnsi="仿宋_GB2312" w:eastAsia="仿宋_GB2312" w:cs="仿宋_GB2312"/>
          <w:i w:val="0"/>
          <w:caps w:val="0"/>
          <w:color w:val="000000"/>
          <w:spacing w:val="0"/>
          <w:sz w:val="32"/>
          <w:szCs w:val="32"/>
          <w:shd w:val="clear" w:fill="FFFFFF"/>
        </w:rPr>
        <w:t>会同厅计算机信息审计中心做好网络安全和信息化工作、网络舆情处置工作，切实做到守土有责、守土负责、守土尽责。</w:t>
      </w:r>
      <w:r>
        <w:rPr>
          <w:rFonts w:hint="eastAsia" w:ascii="仿宋_GB2312" w:hAnsi="仿宋_GB2312" w:eastAsia="仿宋_GB2312" w:cs="仿宋_GB2312"/>
          <w:i w:val="0"/>
          <w:caps w:val="0"/>
          <w:color w:val="000000"/>
          <w:spacing w:val="0"/>
          <w:sz w:val="32"/>
          <w:szCs w:val="32"/>
          <w:shd w:val="clear" w:fill="FFFFFF"/>
          <w:lang w:eastAsia="zh-CN"/>
        </w:rPr>
        <w:t>进一步加强</w:t>
      </w:r>
      <w:r>
        <w:rPr>
          <w:rFonts w:hint="eastAsia" w:ascii="仿宋_GB2312" w:hAnsi="仿宋_GB2312" w:eastAsia="仿宋_GB2312" w:cs="仿宋_GB2312"/>
          <w:i w:val="0"/>
          <w:caps w:val="0"/>
          <w:color w:val="000000"/>
          <w:spacing w:val="0"/>
          <w:sz w:val="32"/>
          <w:szCs w:val="32"/>
          <w:shd w:val="clear" w:fill="FFFFFF"/>
        </w:rPr>
        <w:t>我厅</w:t>
      </w:r>
      <w:r>
        <w:rPr>
          <w:rFonts w:hint="eastAsia" w:ascii="仿宋_GB2312" w:hAnsi="仿宋_GB2312" w:eastAsia="仿宋_GB2312" w:cs="仿宋_GB2312"/>
          <w:i w:val="0"/>
          <w:caps w:val="0"/>
          <w:color w:val="000000"/>
          <w:spacing w:val="0"/>
          <w:sz w:val="32"/>
          <w:szCs w:val="32"/>
          <w:shd w:val="clear" w:fill="FFFFFF"/>
          <w:lang w:eastAsia="zh-CN"/>
        </w:rPr>
        <w:t>与</w:t>
      </w:r>
      <w:r>
        <w:rPr>
          <w:rFonts w:hint="eastAsia" w:ascii="仿宋_GB2312" w:hAnsi="仿宋_GB2312" w:eastAsia="仿宋_GB2312" w:cs="仿宋_GB2312"/>
          <w:i w:val="0"/>
          <w:caps w:val="0"/>
          <w:color w:val="000000"/>
          <w:spacing w:val="0"/>
          <w:sz w:val="32"/>
          <w:szCs w:val="32"/>
          <w:shd w:val="clear" w:fill="FFFFFF"/>
        </w:rPr>
        <w:t>省政务公开办、省委网信办、省数据和政务服务局的</w:t>
      </w:r>
      <w:r>
        <w:rPr>
          <w:rFonts w:hint="eastAsia" w:ascii="仿宋_GB2312" w:hAnsi="仿宋_GB2312" w:eastAsia="仿宋_GB2312" w:cs="仿宋_GB2312"/>
          <w:i w:val="0"/>
          <w:caps w:val="0"/>
          <w:color w:val="000000"/>
          <w:spacing w:val="0"/>
          <w:sz w:val="32"/>
          <w:szCs w:val="32"/>
          <w:shd w:val="clear" w:fill="FFFFFF"/>
          <w:lang w:eastAsia="zh-CN"/>
        </w:rPr>
        <w:t>联系对接，确保及时有效做好相关工作。</w:t>
      </w:r>
      <w:r>
        <w:rPr>
          <w:rFonts w:hint="eastAsia" w:ascii="仿宋_GB2312" w:hAnsi="仿宋_GB2312" w:eastAsia="仿宋_GB2312" w:cs="仿宋_GB2312"/>
          <w:i w:val="0"/>
          <w:caps w:val="0"/>
          <w:color w:val="000000"/>
          <w:spacing w:val="0"/>
          <w:sz w:val="32"/>
          <w:szCs w:val="32"/>
          <w:shd w:val="clear" w:fill="FFFFFF"/>
        </w:rPr>
        <w:t> </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2"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rPr>
        <w:t>（五）监督保障方面。</w:t>
      </w:r>
      <w:r>
        <w:rPr>
          <w:rFonts w:hint="eastAsia" w:ascii="仿宋_GB2312" w:hAnsi="仿宋_GB2312" w:eastAsia="仿宋_GB2312" w:cs="仿宋_GB2312"/>
          <w:i w:val="0"/>
          <w:caps w:val="0"/>
          <w:color w:val="000000"/>
          <w:spacing w:val="0"/>
          <w:sz w:val="32"/>
          <w:szCs w:val="32"/>
          <w:shd w:val="clear" w:fill="FFFFFF"/>
        </w:rPr>
        <w:t>成立厅政务公开领导小组，明确专人承担具体工作任务，协调处理政务公开重大事项，部署推进有关工作。分管负责同志靠上抓，每半年听取一次政务公开工作汇报，厅办公室每季度对政务公开工作进行总结分析，发现问题及时整改，不断提升工作成效。</w:t>
      </w:r>
      <w:r>
        <w:rPr>
          <w:rFonts w:hint="eastAsia" w:ascii="仿宋_GB2312" w:hAnsi="仿宋_GB2312" w:eastAsia="仿宋_GB2312" w:cs="仿宋_GB2312"/>
          <w:i w:val="0"/>
          <w:caps w:val="0"/>
          <w:color w:val="000000"/>
          <w:spacing w:val="0"/>
          <w:sz w:val="32"/>
          <w:szCs w:val="32"/>
          <w:shd w:val="clear" w:fill="FFFFFF"/>
          <w:lang w:eastAsia="zh-CN"/>
        </w:rPr>
        <w:t>在每年开展的全省系统信息宣传工作培训中，将政务公开方面纳入培训内容，</w:t>
      </w:r>
      <w:r>
        <w:rPr>
          <w:rFonts w:hint="eastAsia" w:ascii="仿宋_GB2312" w:hAnsi="仿宋_GB2312" w:eastAsia="仿宋_GB2312" w:cs="仿宋_GB2312"/>
          <w:i w:val="0"/>
          <w:caps w:val="0"/>
          <w:color w:val="000000"/>
          <w:spacing w:val="0"/>
          <w:sz w:val="32"/>
          <w:szCs w:val="32"/>
          <w:shd w:val="clear" w:fill="FFFFFF"/>
        </w:rPr>
        <w:t>压实工作责任</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提升全系统工作人员依法</w:t>
      </w:r>
      <w:r>
        <w:rPr>
          <w:rFonts w:hint="default" w:ascii="仿宋_GB2312" w:hAnsi="仿宋_GB2312" w:eastAsia="仿宋_GB2312" w:cs="仿宋_GB2312"/>
          <w:i w:val="0"/>
          <w:caps w:val="0"/>
          <w:color w:val="000000"/>
          <w:spacing w:val="0"/>
          <w:sz w:val="32"/>
          <w:szCs w:val="32"/>
          <w:shd w:val="clear" w:fill="FFFFFF"/>
        </w:rPr>
        <w:t>公开、主动公开、及时公开的意识和能力</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强化考核问责，将厅内各单位信息公开、政策解读、回应关切等方面情况纳入厅绩效考核体系，通过考核，促进规范管理，有效防范化解风险，深入推进法治政府建设。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2" w:firstLineChars="200"/>
        <w:textAlignment w:val="auto"/>
        <w:rPr>
          <w:rFonts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shd w:val="clear" w:fill="FFFFFF"/>
        </w:rPr>
        <w:t>二、主动公开政府信息情况</w:t>
      </w:r>
    </w:p>
    <w:tbl>
      <w:tblPr>
        <w:tblStyle w:val="8"/>
        <w:tblW w:w="8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115"/>
        <w:gridCol w:w="1872"/>
        <w:gridCol w:w="1513"/>
        <w:gridCol w:w="1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atLeast"/>
          <w:jc w:val="center"/>
        </w:trPr>
        <w:tc>
          <w:tcPr>
            <w:tcW w:w="837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信息内容</w:t>
            </w:r>
          </w:p>
        </w:tc>
        <w:tc>
          <w:tcPr>
            <w:tcW w:w="1872"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本年制发件数</w:t>
            </w:r>
          </w:p>
        </w:tc>
        <w:tc>
          <w:tcPr>
            <w:tcW w:w="1513"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本年废止件数</w:t>
            </w:r>
          </w:p>
        </w:tc>
        <w:tc>
          <w:tcPr>
            <w:tcW w:w="187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规章</w:t>
            </w:r>
          </w:p>
        </w:tc>
        <w:tc>
          <w:tcPr>
            <w:tcW w:w="187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0</w:t>
            </w:r>
          </w:p>
        </w:tc>
        <w:tc>
          <w:tcPr>
            <w:tcW w:w="15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0</w:t>
            </w:r>
          </w:p>
        </w:tc>
        <w:tc>
          <w:tcPr>
            <w:tcW w:w="187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行政规范性文件</w:t>
            </w:r>
          </w:p>
        </w:tc>
        <w:tc>
          <w:tcPr>
            <w:tcW w:w="187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0</w:t>
            </w:r>
          </w:p>
        </w:tc>
        <w:tc>
          <w:tcPr>
            <w:tcW w:w="15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0</w:t>
            </w:r>
          </w:p>
        </w:tc>
        <w:tc>
          <w:tcPr>
            <w:tcW w:w="187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8370" w:type="dxa"/>
            <w:gridSpan w:val="4"/>
            <w:tcBorders>
              <w:top w:val="nil"/>
              <w:left w:val="single" w:color="auto" w:sz="8" w:space="0"/>
              <w:bottom w:val="single" w:color="auto" w:sz="8" w:space="0"/>
              <w:right w:val="single" w:color="auto" w:sz="8" w:space="0"/>
            </w:tcBorders>
            <w:shd w:val="clear" w:color="auto" w:fill="C6D9F1"/>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信息内容</w:t>
            </w:r>
          </w:p>
        </w:tc>
        <w:tc>
          <w:tcPr>
            <w:tcW w:w="5255" w:type="dxa"/>
            <w:gridSpan w:val="3"/>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行政许可</w:t>
            </w:r>
          </w:p>
        </w:tc>
        <w:tc>
          <w:tcPr>
            <w:tcW w:w="5255"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8370" w:type="dxa"/>
            <w:gridSpan w:val="4"/>
            <w:tcBorders>
              <w:top w:val="nil"/>
              <w:left w:val="single" w:color="auto" w:sz="8" w:space="0"/>
              <w:bottom w:val="single" w:color="auto" w:sz="8" w:space="0"/>
              <w:right w:val="single" w:color="auto" w:sz="8" w:space="0"/>
            </w:tcBorders>
            <w:shd w:val="clear" w:color="auto" w:fill="C6D9F1"/>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信息内容</w:t>
            </w:r>
          </w:p>
        </w:tc>
        <w:tc>
          <w:tcPr>
            <w:tcW w:w="5255" w:type="dxa"/>
            <w:gridSpan w:val="3"/>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行政处罚</w:t>
            </w:r>
          </w:p>
        </w:tc>
        <w:tc>
          <w:tcPr>
            <w:tcW w:w="5255"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行政强制</w:t>
            </w:r>
          </w:p>
        </w:tc>
        <w:tc>
          <w:tcPr>
            <w:tcW w:w="5255"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8370" w:type="dxa"/>
            <w:gridSpan w:val="4"/>
            <w:tcBorders>
              <w:top w:val="nil"/>
              <w:left w:val="single" w:color="auto" w:sz="8" w:space="0"/>
              <w:bottom w:val="single" w:color="auto" w:sz="8" w:space="0"/>
              <w:right w:val="single" w:color="auto" w:sz="8" w:space="0"/>
            </w:tcBorders>
            <w:shd w:val="clear" w:color="auto" w:fill="C6D9F1"/>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信息内容</w:t>
            </w:r>
          </w:p>
        </w:tc>
        <w:tc>
          <w:tcPr>
            <w:tcW w:w="5255" w:type="dxa"/>
            <w:gridSpan w:val="3"/>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1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行政事业性收费</w:t>
            </w:r>
          </w:p>
        </w:tc>
        <w:tc>
          <w:tcPr>
            <w:tcW w:w="5255" w:type="dxa"/>
            <w:gridSpan w:val="3"/>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caps w:val="0"/>
                <w:color w:val="333333"/>
                <w:spacing w:val="0"/>
                <w:sz w:val="20"/>
                <w:szCs w:val="20"/>
              </w:rPr>
              <w:t>0</w:t>
            </w: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32" w:firstLineChars="200"/>
        <w:jc w:val="left"/>
        <w:textAlignment w:val="auto"/>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kern w:val="0"/>
          <w:sz w:val="32"/>
          <w:szCs w:val="32"/>
          <w:shd w:val="clear" w:fill="FFFFFF"/>
          <w:lang w:val="en-US" w:eastAsia="zh-CN" w:bidi="ar"/>
        </w:rPr>
        <w:t>三、收到和处理政府信息公开申请情况</w:t>
      </w:r>
    </w:p>
    <w:tbl>
      <w:tblPr>
        <w:tblStyle w:val="8"/>
        <w:tblW w:w="924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540"/>
        <w:gridCol w:w="975"/>
        <w:gridCol w:w="2760"/>
        <w:gridCol w:w="810"/>
        <w:gridCol w:w="735"/>
        <w:gridCol w:w="735"/>
        <w:gridCol w:w="810"/>
        <w:gridCol w:w="780"/>
        <w:gridCol w:w="540"/>
        <w:gridCol w:w="5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blHeader/>
        </w:trPr>
        <w:tc>
          <w:tcPr>
            <w:tcW w:w="4275" w:type="dxa"/>
            <w:gridSpan w:val="3"/>
            <w:vMerge w:val="restart"/>
            <w:tcBorders>
              <w:top w:val="single" w:color="auto" w:sz="8" w:space="0"/>
              <w:left w:val="single" w:color="auto" w:sz="8" w:space="0"/>
              <w:bottom w:val="outset" w:color="auto" w:sz="8" w:space="0"/>
              <w:right w:val="single" w:color="auto" w:sz="8" w:space="0"/>
            </w:tcBorders>
            <w:shd w:val="clear" w:color="auto" w:fill="FFFFFF"/>
            <w:tcMar>
              <w:top w:w="0" w:type="dxa"/>
              <w:left w:w="108" w:type="dxa"/>
              <w:bottom w:w="0"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（本列数据的勾稽关系为：第一项加第二项之和，等于第三项加第四项之和）</w:t>
            </w:r>
          </w:p>
        </w:tc>
        <w:tc>
          <w:tcPr>
            <w:tcW w:w="4965" w:type="dxa"/>
            <w:gridSpan w:val="7"/>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blHeader/>
        </w:trPr>
        <w:tc>
          <w:tcPr>
            <w:tcW w:w="4275"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 w:hAnsi="����" w:eastAsia="����" w:cs="����"/>
                <w:i w:val="0"/>
                <w:caps w:val="0"/>
                <w:color w:val="333333"/>
                <w:spacing w:val="0"/>
                <w:sz w:val="21"/>
                <w:szCs w:val="21"/>
              </w:rPr>
            </w:pPr>
          </w:p>
        </w:tc>
        <w:tc>
          <w:tcPr>
            <w:tcW w:w="810"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自然人</w:t>
            </w:r>
          </w:p>
        </w:tc>
        <w:tc>
          <w:tcPr>
            <w:tcW w:w="3600"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法人或其他组织</w:t>
            </w:r>
          </w:p>
        </w:tc>
        <w:tc>
          <w:tcPr>
            <w:tcW w:w="555" w:type="dxa"/>
            <w:vMerge w:val="restart"/>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1" w:hRule="atLeast"/>
          <w:tblHeader/>
        </w:trPr>
        <w:tc>
          <w:tcPr>
            <w:tcW w:w="4275"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81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商业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企业</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科研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机构</w:t>
            </w:r>
          </w:p>
        </w:tc>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社会公益组织</w:t>
            </w:r>
          </w:p>
        </w:tc>
        <w:tc>
          <w:tcPr>
            <w:tcW w:w="780" w:type="dxa"/>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法律服务机构</w:t>
            </w:r>
          </w:p>
        </w:tc>
        <w:tc>
          <w:tcPr>
            <w:tcW w:w="540" w:type="dxa"/>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Style w:val="10"/>
                <w:rFonts w:hint="eastAsia" w:ascii="宋体" w:hAnsi="宋体" w:eastAsia="宋体" w:cs="宋体"/>
                <w:b/>
                <w:i w:val="0"/>
                <w:caps w:val="0"/>
                <w:color w:val="333333"/>
                <w:spacing w:val="0"/>
                <w:sz w:val="20"/>
                <w:szCs w:val="20"/>
              </w:rPr>
              <w:t>其他</w:t>
            </w:r>
          </w:p>
        </w:tc>
        <w:tc>
          <w:tcPr>
            <w:tcW w:w="55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4275" w:type="dxa"/>
            <w:gridSpan w:val="3"/>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一、本年新收政府信息公开申请数量</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5</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3</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4275" w:type="dxa"/>
            <w:gridSpan w:val="3"/>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二、上年结转政府信息公开申请数量</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restart"/>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三、本年度办理结果</w:t>
            </w:r>
          </w:p>
        </w:tc>
        <w:tc>
          <w:tcPr>
            <w:tcW w:w="3735" w:type="dxa"/>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（一）予以公开</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1</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33"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3735" w:type="dxa"/>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（二）部分公开（区分处理的，只计这一情形，不计其他情形）</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restart"/>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（三）不予公开</w:t>
            </w: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1.属于国家秘密</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3</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2.其他法律行政法规禁止公开</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3.危及“三安全一稳定”</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4.保护第三方合法权益</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5.属于三类内部事务信息</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6.属于四类过程性信息</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7.属于行政执法案卷</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8.属于行政查询事项</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restart"/>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（四）无法提供</w:t>
            </w: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1.本机关不掌握相关政府信息</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4</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2.没有现成信息需要另行制作</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3.补正后申请内容仍不明确</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restart"/>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（五）不予处理</w:t>
            </w: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1.信访举报投诉类申请</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2.重复申请</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3.要求提供公开出版物</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4.无正当理由大量反复申请</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8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pPr>
            <w:r>
              <w:rPr>
                <w:rFonts w:hint="eastAsia" w:ascii="宋体" w:hAnsi="宋体" w:eastAsia="宋体" w:cs="宋体"/>
                <w:i w:val="0"/>
                <w:caps w:val="0"/>
                <w:color w:val="333333"/>
                <w:spacing w:val="0"/>
                <w:sz w:val="20"/>
                <w:szCs w:val="20"/>
              </w:rPr>
              <w:t>5.要求行政机关确认或重新出具已获取信息</w:t>
            </w:r>
          </w:p>
        </w:tc>
        <w:tc>
          <w:tcPr>
            <w:tcW w:w="810" w:type="dxa"/>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34"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restart"/>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（六）其他处理</w:t>
            </w: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textAlignment w:val="auto"/>
            </w:pPr>
            <w:r>
              <w:rPr>
                <w:rFonts w:hint="eastAsia" w:ascii="宋体" w:hAnsi="宋体" w:eastAsia="宋体" w:cs="宋体"/>
                <w:i w:val="0"/>
                <w:caps w:val="0"/>
                <w:color w:val="333333"/>
                <w:spacing w:val="0"/>
                <w:sz w:val="20"/>
                <w:szCs w:val="20"/>
              </w:rPr>
              <w:t>1.申请人无正当理由逾期不补正、行政机关不再处理其政府信息公开申请</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21"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textAlignment w:val="auto"/>
            </w:pPr>
            <w:r>
              <w:rPr>
                <w:rFonts w:hint="eastAsia" w:ascii="宋体" w:hAnsi="宋体" w:eastAsia="宋体" w:cs="宋体"/>
                <w:i w:val="0"/>
                <w:caps w:val="0"/>
                <w:color w:val="333333"/>
                <w:spacing w:val="0"/>
                <w:sz w:val="20"/>
                <w:szCs w:val="20"/>
              </w:rPr>
              <w:t>2.申请人逾期未按收费通知要求缴纳费用、行政机关不再处理其政府信息公开申请</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975" w:type="dxa"/>
            <w:vMerge w:val="continue"/>
            <w:tcBorders>
              <w:top w:val="nil"/>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276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3.其他</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540" w:type="dxa"/>
            <w:vMerge w:val="continue"/>
            <w:tcBorders>
              <w:top w:val="single" w:color="auto" w:sz="8" w:space="0"/>
              <w:left w:val="single" w:color="auto" w:sz="8" w:space="0"/>
              <w:bottom w:val="outset"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 w:hAnsi="����" w:eastAsia="����" w:cs="����"/>
                <w:i w:val="0"/>
                <w:caps w:val="0"/>
                <w:color w:val="333333"/>
                <w:spacing w:val="0"/>
                <w:sz w:val="21"/>
                <w:szCs w:val="21"/>
              </w:rPr>
            </w:pPr>
          </w:p>
        </w:tc>
        <w:tc>
          <w:tcPr>
            <w:tcW w:w="3735" w:type="dxa"/>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（七）总计</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5</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3</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4275" w:type="dxa"/>
            <w:gridSpan w:val="3"/>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pPr>
            <w:r>
              <w:rPr>
                <w:rFonts w:hint="eastAsia" w:ascii="宋体" w:hAnsi="宋体" w:eastAsia="宋体" w:cs="宋体"/>
                <w:i w:val="0"/>
                <w:caps w:val="0"/>
                <w:color w:val="333333"/>
                <w:spacing w:val="0"/>
                <w:sz w:val="20"/>
                <w:szCs w:val="20"/>
              </w:rPr>
              <w:t>四、结转下年度继续办理</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3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8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78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4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c>
          <w:tcPr>
            <w:tcW w:w="555"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pPr>
            <w:r>
              <w:rPr>
                <w:rFonts w:hint="eastAsia" w:ascii="宋体" w:hAnsi="宋体" w:eastAsia="宋体" w:cs="宋体"/>
                <w:i w:val="0"/>
                <w:caps w:val="0"/>
                <w:color w:val="333333"/>
                <w:spacing w:val="0"/>
                <w:sz w:val="20"/>
                <w:szCs w:val="20"/>
              </w:rPr>
              <w:t>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2"/>
        <w:rPr>
          <w:rFonts w:hint="eastAsia" w:ascii="微软雅黑" w:hAnsi="微软雅黑" w:eastAsia="微软雅黑" w:cs="微软雅黑"/>
          <w:i w:val="0"/>
          <w:caps w:val="0"/>
          <w:color w:val="000000"/>
          <w:spacing w:val="0"/>
          <w:sz w:val="18"/>
          <w:szCs w:val="18"/>
        </w:rPr>
      </w:pPr>
      <w:r>
        <w:rPr>
          <w:rFonts w:hint="eastAsia" w:ascii="黑体" w:hAnsi="宋体" w:eastAsia="黑体" w:cs="黑体"/>
          <w:i w:val="0"/>
          <w:caps w:val="0"/>
          <w:color w:val="000000"/>
          <w:spacing w:val="0"/>
          <w:sz w:val="32"/>
          <w:szCs w:val="32"/>
          <w:shd w:val="clear" w:fill="FFFFFF"/>
        </w:rPr>
        <w:t>四、</w:t>
      </w:r>
      <w:r>
        <w:rPr>
          <w:rFonts w:hint="eastAsia" w:ascii="黑体" w:hAnsi="宋体" w:eastAsia="黑体" w:cs="黑体"/>
          <w:i w:val="0"/>
          <w:caps w:val="0"/>
          <w:color w:val="000000"/>
          <w:spacing w:val="-6"/>
          <w:sz w:val="32"/>
          <w:szCs w:val="32"/>
          <w:shd w:val="clear" w:fill="FFFFFF"/>
        </w:rPr>
        <w:t>因政府信息公开工作被申请行政复议、提起行政诉讼情况</w:t>
      </w:r>
    </w:p>
    <w:tbl>
      <w:tblPr>
        <w:tblStyle w:val="8"/>
        <w:tblW w:w="900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510"/>
        <w:gridCol w:w="600"/>
        <w:gridCol w:w="600"/>
        <w:gridCol w:w="600"/>
        <w:gridCol w:w="675"/>
        <w:gridCol w:w="555"/>
        <w:gridCol w:w="600"/>
        <w:gridCol w:w="600"/>
        <w:gridCol w:w="600"/>
        <w:gridCol w:w="615"/>
        <w:gridCol w:w="600"/>
        <w:gridCol w:w="600"/>
        <w:gridCol w:w="600"/>
        <w:gridCol w:w="600"/>
        <w:gridCol w:w="6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4" w:hRule="atLeast"/>
          <w:jc w:val="center"/>
        </w:trPr>
        <w:tc>
          <w:tcPr>
            <w:tcW w:w="2985"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行政复议</w:t>
            </w:r>
          </w:p>
        </w:tc>
        <w:tc>
          <w:tcPr>
            <w:tcW w:w="6016" w:type="dxa"/>
            <w:gridSpan w:val="10"/>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4" w:hRule="atLeast"/>
          <w:jc w:val="center"/>
        </w:trPr>
        <w:tc>
          <w:tcPr>
            <w:tcW w:w="510" w:type="dxa"/>
            <w:vMerge w:val="restart"/>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维持</w:t>
            </w:r>
          </w:p>
        </w:tc>
        <w:tc>
          <w:tcPr>
            <w:tcW w:w="600" w:type="dxa"/>
            <w:vMerge w:val="restart"/>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结果纠正</w:t>
            </w:r>
          </w:p>
        </w:tc>
        <w:tc>
          <w:tcPr>
            <w:tcW w:w="600" w:type="dxa"/>
            <w:vMerge w:val="restart"/>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其他结果</w:t>
            </w:r>
          </w:p>
        </w:tc>
        <w:tc>
          <w:tcPr>
            <w:tcW w:w="600" w:type="dxa"/>
            <w:vMerge w:val="restart"/>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尚未审结</w:t>
            </w:r>
          </w:p>
        </w:tc>
        <w:tc>
          <w:tcPr>
            <w:tcW w:w="675" w:type="dxa"/>
            <w:vMerge w:val="restart"/>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未经复议直接起诉</w:t>
            </w:r>
          </w:p>
        </w:tc>
        <w:tc>
          <w:tcPr>
            <w:tcW w:w="3046" w:type="dxa"/>
            <w:gridSpan w:val="5"/>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4" w:hRule="atLeast"/>
          <w:jc w:val="center"/>
        </w:trPr>
        <w:tc>
          <w:tcPr>
            <w:tcW w:w="510"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 w:hAnsi="����" w:eastAsia="����" w:cs="����"/>
                <w:i w:val="0"/>
                <w:caps w:val="0"/>
                <w:color w:val="333333"/>
                <w:spacing w:val="0"/>
                <w:sz w:val="21"/>
                <w:szCs w:val="21"/>
              </w:rPr>
            </w:pPr>
          </w:p>
        </w:tc>
        <w:tc>
          <w:tcPr>
            <w:tcW w:w="6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 w:hAnsi="����" w:eastAsia="����" w:cs="����"/>
                <w:i w:val="0"/>
                <w:caps w:val="0"/>
                <w:color w:val="333333"/>
                <w:spacing w:val="0"/>
                <w:sz w:val="21"/>
                <w:szCs w:val="21"/>
              </w:rPr>
            </w:pPr>
          </w:p>
        </w:tc>
        <w:tc>
          <w:tcPr>
            <w:tcW w:w="600" w:type="dxa"/>
            <w:vMerge w:val="continue"/>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 w:hAnsi="����" w:eastAsia="����" w:cs="����"/>
                <w:i w:val="0"/>
                <w:caps w:val="0"/>
                <w:color w:val="333333"/>
                <w:spacing w:val="0"/>
                <w:sz w:val="21"/>
                <w:szCs w:val="21"/>
              </w:rPr>
            </w:pPr>
          </w:p>
        </w:tc>
        <w:tc>
          <w:tcPr>
            <w:tcW w:w="600" w:type="dxa"/>
            <w:vMerge w:val="continue"/>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 w:hAnsi="����" w:eastAsia="����" w:cs="����"/>
                <w:i w:val="0"/>
                <w:caps w:val="0"/>
                <w:color w:val="333333"/>
                <w:spacing w:val="0"/>
                <w:sz w:val="21"/>
                <w:szCs w:val="21"/>
              </w:rPr>
            </w:pPr>
          </w:p>
        </w:tc>
        <w:tc>
          <w:tcPr>
            <w:tcW w:w="675" w:type="dxa"/>
            <w:vMerge w:val="continue"/>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 w:hAnsi="����" w:eastAsia="����" w:cs="����"/>
                <w:i w:val="0"/>
                <w:caps w:val="0"/>
                <w:color w:val="333333"/>
                <w:spacing w:val="0"/>
                <w:sz w:val="21"/>
                <w:szCs w:val="21"/>
              </w:rPr>
            </w:pPr>
          </w:p>
        </w:tc>
        <w:tc>
          <w:tcPr>
            <w:tcW w:w="55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结果维持</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结果纠正</w:t>
            </w:r>
          </w:p>
        </w:tc>
        <w:tc>
          <w:tcPr>
            <w:tcW w:w="60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其他结果</w:t>
            </w:r>
          </w:p>
        </w:tc>
        <w:tc>
          <w:tcPr>
            <w:tcW w:w="60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尚未审结</w:t>
            </w:r>
          </w:p>
        </w:tc>
        <w:tc>
          <w:tcPr>
            <w:tcW w:w="615"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总计</w:t>
            </w:r>
          </w:p>
        </w:tc>
        <w:tc>
          <w:tcPr>
            <w:tcW w:w="60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结果维持</w:t>
            </w:r>
          </w:p>
        </w:tc>
        <w:tc>
          <w:tcPr>
            <w:tcW w:w="60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结果纠正</w:t>
            </w:r>
          </w:p>
        </w:tc>
        <w:tc>
          <w:tcPr>
            <w:tcW w:w="60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其他结果</w:t>
            </w:r>
          </w:p>
        </w:tc>
        <w:tc>
          <w:tcPr>
            <w:tcW w:w="600"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尚未审结</w:t>
            </w:r>
          </w:p>
        </w:tc>
        <w:tc>
          <w:tcPr>
            <w:tcW w:w="646"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Style w:val="10"/>
                <w:rFonts w:hint="eastAsia" w:ascii="宋体" w:hAnsi="宋体" w:eastAsia="宋体" w:cs="宋体"/>
                <w:b/>
                <w:i w:val="0"/>
                <w:caps w:val="0"/>
                <w:color w:val="333333"/>
                <w:spacing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1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1</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7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eastAsiaTheme="minorEastAsia"/>
                <w:lang w:eastAsia="zh-CN"/>
              </w:rPr>
            </w:pPr>
            <w:r>
              <w:rPr>
                <w:rFonts w:hint="eastAsia" w:ascii="宋体" w:hAnsi="宋体" w:eastAsia="宋体" w:cs="宋体"/>
                <w:i w:val="0"/>
                <w:caps w:val="0"/>
                <w:color w:val="333333"/>
                <w:spacing w:val="0"/>
                <w:sz w:val="20"/>
                <w:szCs w:val="20"/>
                <w:lang w:val="en-US" w:eastAsia="zh-CN"/>
              </w:rPr>
              <w:t>1</w:t>
            </w:r>
          </w:p>
        </w:tc>
        <w:tc>
          <w:tcPr>
            <w:tcW w:w="55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0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c>
          <w:tcPr>
            <w:tcW w:w="64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pPr>
            <w:r>
              <w:rPr>
                <w:rFonts w:hint="eastAsia" w:ascii="宋体" w:hAnsi="宋体" w:eastAsia="宋体" w:cs="宋体"/>
                <w:i w:val="0"/>
                <w:caps w:val="0"/>
                <w:color w:val="333333"/>
                <w:spacing w:val="0"/>
                <w:sz w:val="20"/>
                <w:szCs w:val="20"/>
              </w:rPr>
              <w:t>0</w:t>
            </w:r>
          </w:p>
        </w:tc>
      </w:tr>
    </w:tbl>
    <w:p>
      <w:pPr>
        <w:keepNext w:val="0"/>
        <w:keepLines w:val="0"/>
        <w:pageBreakBefore w:val="0"/>
        <w:widowControl w:val="0"/>
        <w:suppressLineNumbers w:val="0"/>
        <w:shd w:val="clear" w:fill="FFFFFF"/>
        <w:kinsoku/>
        <w:wordWrap/>
        <w:overflowPunct/>
        <w:topLinePunct w:val="0"/>
        <w:autoSpaceDE/>
        <w:autoSpaceDN/>
        <w:bidi w:val="0"/>
        <w:adjustRightInd/>
        <w:snapToGrid/>
        <w:spacing w:line="560" w:lineRule="exact"/>
        <w:ind w:left="632" w:leftChars="200" w:firstLine="0" w:firstLineChars="0"/>
        <w:jc w:val="left"/>
        <w:textAlignment w:val="auto"/>
        <w:rPr>
          <w:rFonts w:hint="eastAsia" w:ascii="黑体" w:hAnsi="宋体" w:eastAsia="黑体" w:cs="黑体"/>
          <w:i w:val="0"/>
          <w:caps w:val="0"/>
          <w:color w:val="000000"/>
          <w:spacing w:val="0"/>
          <w:kern w:val="0"/>
          <w:sz w:val="32"/>
          <w:szCs w:val="32"/>
          <w:shd w:val="clear" w:fill="FFFFFF"/>
          <w:lang w:val="en-US" w:eastAsia="zh-CN" w:bidi="ar"/>
        </w:rPr>
      </w:pPr>
      <w:r>
        <w:rPr>
          <w:rFonts w:hint="eastAsia" w:ascii="黑体" w:hAnsi="宋体" w:eastAsia="黑体" w:cs="黑体"/>
          <w:i w:val="0"/>
          <w:caps w:val="0"/>
          <w:color w:val="000000"/>
          <w:spacing w:val="0"/>
          <w:kern w:val="0"/>
          <w:sz w:val="32"/>
          <w:szCs w:val="32"/>
          <w:shd w:val="clear" w:fill="FFFFFF"/>
          <w:lang w:val="en-US" w:eastAsia="zh-CN" w:bidi="ar"/>
        </w:rPr>
        <w:t>五、存在的主要问题及改进措施</w:t>
      </w:r>
    </w:p>
    <w:p>
      <w:pPr>
        <w:keepNext w:val="0"/>
        <w:keepLines w:val="0"/>
        <w:pageBreakBefore w:val="0"/>
        <w:widowControl w:val="0"/>
        <w:suppressLineNumbers w:val="0"/>
        <w:shd w:val="clear" w:fill="FFFFFF"/>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对本部门的行政职权及政府信息公开机制宣传不足，导致在依申请公开答复时，对“不予公开”的情形把握不准，引发争议。下一步，我厅将大力推进平台建设，加强对公众的政策宣传和引导，同时，加强业务培训、妥善处理好公开信息与保守国家秘密的关系，保证公开信息内容合法、精准、完整，提升依申请公开答复质量。持续完善政务公开工作机制，运用全媒体手段做好政务公开工作，确保公开内容不涉密、不泄密。制定政务公开专项业务培训计划，组织开展业务培训和研讨交流，提高指导、推动全省审计系统政务公开工作的能力和水平。</w:t>
      </w:r>
    </w:p>
    <w:p>
      <w:pPr>
        <w:keepNext w:val="0"/>
        <w:keepLines w:val="0"/>
        <w:pageBreakBefore w:val="0"/>
        <w:widowControl w:val="0"/>
        <w:suppressLineNumbers w:val="0"/>
        <w:shd w:val="clear" w:fill="FFFFFF"/>
        <w:kinsoku/>
        <w:wordWrap/>
        <w:overflowPunct/>
        <w:topLinePunct w:val="0"/>
        <w:autoSpaceDE/>
        <w:autoSpaceDN/>
        <w:bidi w:val="0"/>
        <w:adjustRightInd/>
        <w:snapToGrid/>
        <w:spacing w:line="560" w:lineRule="exact"/>
        <w:ind w:firstLine="632" w:firstLineChars="200"/>
        <w:jc w:val="left"/>
        <w:textAlignment w:val="auto"/>
        <w:rPr>
          <w:rFonts w:hint="eastAsia" w:ascii="黑体" w:hAnsi="宋体" w:eastAsia="黑体" w:cs="黑体"/>
          <w:i w:val="0"/>
          <w:caps w:val="0"/>
          <w:color w:val="000000"/>
          <w:spacing w:val="0"/>
          <w:kern w:val="0"/>
          <w:sz w:val="32"/>
          <w:szCs w:val="32"/>
          <w:shd w:val="clear" w:fill="FFFFFF"/>
          <w:lang w:val="en-US" w:eastAsia="zh-CN" w:bidi="ar"/>
        </w:rPr>
      </w:pPr>
      <w:r>
        <w:rPr>
          <w:rFonts w:hint="eastAsia" w:ascii="黑体" w:hAnsi="宋体" w:eastAsia="黑体" w:cs="黑体"/>
          <w:i w:val="0"/>
          <w:caps w:val="0"/>
          <w:color w:val="000000"/>
          <w:spacing w:val="0"/>
          <w:kern w:val="0"/>
          <w:sz w:val="32"/>
          <w:szCs w:val="32"/>
          <w:shd w:val="clear" w:fill="FFFFFF"/>
          <w:lang w:val="en-US" w:eastAsia="zh-CN" w:bidi="ar"/>
        </w:rPr>
        <w:t>六、其他需要报告的事项</w:t>
      </w:r>
    </w:p>
    <w:p>
      <w:pPr>
        <w:keepNext w:val="0"/>
        <w:keepLines w:val="0"/>
        <w:pageBreakBefore w:val="0"/>
        <w:widowControl w:val="0"/>
        <w:suppressLineNumbers w:val="0"/>
        <w:shd w:val="clear" w:fill="FFFFFF"/>
        <w:kinsoku/>
        <w:wordWrap/>
        <w:overflowPunct/>
        <w:topLinePunct w:val="0"/>
        <w:autoSpaceDE/>
        <w:autoSpaceDN/>
        <w:bidi w:val="0"/>
        <w:adjustRightInd/>
        <w:snapToGrid/>
        <w:spacing w:line="560" w:lineRule="exact"/>
        <w:ind w:firstLine="632" w:firstLineChars="200"/>
        <w:jc w:val="left"/>
        <w:textAlignment w:val="auto"/>
        <w:rPr>
          <w:rFonts w:hint="eastAsia" w:ascii="微软雅黑" w:hAnsi="微软雅黑" w:eastAsia="微软雅黑" w:cs="微软雅黑"/>
          <w:i w:val="0"/>
          <w:caps w:val="0"/>
          <w:color w:val="000000"/>
          <w:spacing w:val="0"/>
          <w:sz w:val="18"/>
          <w:szCs w:val="18"/>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2025年办理的依申请政府信息公开案件在办理过程中均未向申请人收取费用。</w:t>
      </w:r>
      <w:r>
        <w:rPr>
          <w:rFonts w:hint="eastAsia" w:ascii="仿宋_GB2312" w:hAnsi="微软雅黑" w:eastAsia="仿宋_GB2312" w:cs="仿宋_GB2312"/>
          <w:i w:val="0"/>
          <w:caps w:val="0"/>
          <w:color w:val="000000"/>
          <w:spacing w:val="0"/>
          <w:kern w:val="0"/>
          <w:sz w:val="36"/>
          <w:szCs w:val="36"/>
          <w:shd w:val="clear" w:fill="FFFFFF"/>
          <w:lang w:val="en-US" w:eastAsia="zh-CN" w:bidi="ar"/>
        </w:rPr>
        <w:t>   </w:t>
      </w:r>
    </w:p>
    <w:p>
      <w:pPr>
        <w:keepNext w:val="0"/>
        <w:keepLines w:val="0"/>
        <w:pageBreakBefore w:val="0"/>
        <w:widowControl w:val="0"/>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val="0"/>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val="0"/>
        <w:suppressLineNumbers w:val="0"/>
        <w:shd w:val="clear"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val="0"/>
        <w:suppressLineNumbers w:val="0"/>
        <w:shd w:val="clear" w:fill="FFFFFF"/>
        <w:kinsoku/>
        <w:wordWrap/>
        <w:overflowPunct/>
        <w:topLinePunct w:val="0"/>
        <w:autoSpaceDE/>
        <w:autoSpaceDN/>
        <w:bidi w:val="0"/>
        <w:adjustRightInd/>
        <w:snapToGrid/>
        <w:spacing w:line="560" w:lineRule="exact"/>
        <w:ind w:firstLine="5372" w:firstLineChars="17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河北省审计厅</w:t>
      </w:r>
    </w:p>
    <w:p>
      <w:pPr>
        <w:keepNext w:val="0"/>
        <w:keepLines w:val="0"/>
        <w:pageBreakBefore w:val="0"/>
        <w:widowControl w:val="0"/>
        <w:suppressLineNumbers w:val="0"/>
        <w:shd w:val="clear" w:fill="FFFFFF"/>
        <w:kinsoku/>
        <w:wordWrap/>
        <w:overflowPunct/>
        <w:topLinePunct w:val="0"/>
        <w:autoSpaceDE/>
        <w:autoSpaceDN/>
        <w:bidi w:val="0"/>
        <w:adjustRightInd/>
        <w:snapToGrid/>
        <w:spacing w:line="560" w:lineRule="exact"/>
        <w:ind w:left="0" w:leftChars="0" w:firstLine="5141" w:firstLineChars="1627"/>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2026年1月26日</w:t>
      </w:r>
    </w:p>
    <w:sectPr>
      <w:footerReference r:id="rId3" w:type="default"/>
      <w:footerReference r:id="rId4" w:type="even"/>
      <w:pgSz w:w="11906" w:h="16838"/>
      <w:pgMar w:top="2098" w:right="1474" w:bottom="1984" w:left="1587" w:header="851" w:footer="1531"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长城大标宋体">
    <w:panose1 w:val="0201060901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7700" w:firstLineChars="2750"/>
    </w:pPr>
    <w:r>
      <w:rPr>
        <w:rFonts w:hint="eastAsia" w:ascii="宋体" w:hAnsi="宋体" w:eastAsia="宋体"/>
        <w:sz w:val="28"/>
        <w:szCs w:val="28"/>
      </w:rPr>
      <w:t>—</w:t>
    </w: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sz w:val="28"/>
        <w:szCs w:val="28"/>
      </w:rPr>
      <w:fldChar w:fldCharType="separate"/>
    </w:r>
    <w:r>
      <w:rPr>
        <w:rFonts w:ascii="宋体" w:hAnsi="宋体" w:eastAsia="宋体"/>
        <w:kern w:val="0"/>
        <w:sz w:val="28"/>
        <w:szCs w:val="28"/>
      </w:rPr>
      <w:t>1</w:t>
    </w:r>
    <w:r>
      <w:rPr>
        <w:rFonts w:ascii="宋体" w:hAnsi="宋体" w:eastAsia="宋体"/>
        <w:kern w:val="0"/>
        <w:sz w:val="28"/>
        <w:szCs w:val="28"/>
      </w:rPr>
      <w:fldChar w:fldCharType="end"/>
    </w:r>
    <w:r>
      <w:rPr>
        <w:rFonts w:ascii="宋体" w:hAnsi="宋体" w:eastAsia="宋体"/>
        <w:kern w:val="0"/>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40" w:firstLineChars="50"/>
    </w:pPr>
    <w:r>
      <w:rPr>
        <w:rFonts w:hint="eastAsia" w:ascii="宋体" w:hAnsi="宋体" w:eastAsia="宋体"/>
        <w:sz w:val="28"/>
        <w:szCs w:val="28"/>
      </w:rPr>
      <w:t>—</w:t>
    </w: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sz w:val="28"/>
        <w:szCs w:val="28"/>
      </w:rPr>
      <w:fldChar w:fldCharType="separate"/>
    </w:r>
    <w:r>
      <w:rPr>
        <w:rFonts w:ascii="宋体" w:hAnsi="宋体" w:eastAsia="宋体"/>
        <w:kern w:val="0"/>
        <w:sz w:val="28"/>
        <w:szCs w:val="28"/>
      </w:rPr>
      <w:t>1</w:t>
    </w:r>
    <w:r>
      <w:rPr>
        <w:rFonts w:ascii="宋体" w:hAnsi="宋体" w:eastAsia="宋体"/>
        <w:kern w:val="0"/>
        <w:sz w:val="28"/>
        <w:szCs w:val="28"/>
      </w:rPr>
      <w:fldChar w:fldCharType="end"/>
    </w:r>
    <w:r>
      <w:rPr>
        <w:rFonts w:ascii="宋体" w:hAnsi="宋体" w:eastAsia="宋体"/>
        <w:kern w:val="0"/>
        <w:sz w:val="28"/>
        <w:szCs w:val="28"/>
      </w:rPr>
      <w:t xml:space="preserve"> </w:t>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6342C"/>
    <w:rsid w:val="21D73CE8"/>
    <w:rsid w:val="2906342C"/>
    <w:rsid w:val="2C682D2C"/>
    <w:rsid w:val="42F572E5"/>
    <w:rsid w:val="4D8F1EA6"/>
    <w:rsid w:val="6E1449A6"/>
    <w:rsid w:val="6E517161"/>
    <w:rsid w:val="70DC4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4"/>
    <w:qFormat/>
    <w:uiPriority w:val="0"/>
    <w:pPr>
      <w:keepNext/>
      <w:keepLines/>
      <w:spacing w:before="260" w:after="260" w:line="416" w:lineRule="auto"/>
      <w:outlineLvl w:val="1"/>
    </w:pPr>
    <w:rPr>
      <w:rFonts w:ascii="Arial" w:hAnsi="Arial"/>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iPriority w:val="0"/>
    <w:pPr>
      <w:ind w:firstLine="4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2026-01-20T05:48:00Z</dcterms:created>
  <dc:creator>sjt6</dc:creator>
  <cp:lastModifiedBy>Administrator</cp:lastModifiedBy>
  <cp:lastPrinted>2026-01-26T06:36:00Z</cp:lastPrinted>
  <dcterms:modified xsi:type="dcterms:W3CDTF">2026-01-26T07:03:57Z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C51D85068B984F1F9987726682371A76</vt:lpwstr>
  </property>
</Properties>
</file>